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1D13FA" w:rsidP="009A007E">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r>
              <w:rPr>
                <w:rFonts w:ascii="Arial" w:hAnsi="Arial"/>
                <w:sz w:val="28"/>
              </w:rPr>
              <w:t>COURSE  OUTLINE</w:t>
            </w:r>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C87DD3" w:rsidP="009A007E">
            <w:pPr>
              <w:rPr>
                <w:rFonts w:ascii="Arial" w:hAnsi="Arial"/>
              </w:rPr>
            </w:pPr>
            <w:hyperlink r:id="rId9" w:history="1">
              <w:r w:rsidR="009A007E">
                <w:rPr>
                  <w:rStyle w:val="Hyperlink"/>
                  <w:rFonts w:ascii="Arial" w:hAnsi="Arial"/>
                </w:rPr>
                <w:t>Grant.Dunlop@saultcollege.ca</w:t>
              </w:r>
            </w:hyperlink>
            <w:r w:rsidR="009A007E">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w:t>
            </w:r>
            <w:r w:rsidR="003B5B79">
              <w:rPr>
                <w:rFonts w:ascii="Arial" w:hAnsi="Arial"/>
              </w:rPr>
              <w:t>4</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761E5A">
            <w:pPr>
              <w:rPr>
                <w:rFonts w:ascii="Arial" w:hAnsi="Arial"/>
              </w:rPr>
            </w:pPr>
            <w:r>
              <w:rPr>
                <w:rFonts w:ascii="Arial" w:hAnsi="Arial"/>
              </w:rPr>
              <w:t>June</w:t>
            </w:r>
          </w:p>
          <w:p w:rsidR="00721297" w:rsidRDefault="001136D2">
            <w:pPr>
              <w:rPr>
                <w:rFonts w:ascii="Arial" w:hAnsi="Arial"/>
              </w:rPr>
            </w:pPr>
            <w:r>
              <w:rPr>
                <w:rFonts w:ascii="Arial" w:hAnsi="Arial"/>
              </w:rPr>
              <w:t>20</w:t>
            </w:r>
            <w:r w:rsidR="00761E5A">
              <w:rPr>
                <w:rFonts w:ascii="Arial" w:hAnsi="Arial"/>
              </w:rPr>
              <w:t>1</w:t>
            </w:r>
            <w:r w:rsidR="003B5B79">
              <w:rPr>
                <w:rFonts w:ascii="Arial" w:hAnsi="Arial"/>
              </w:rPr>
              <w:t>3</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3B5B79">
            <w:pPr>
              <w:jc w:val="center"/>
              <w:rPr>
                <w:rFonts w:ascii="Arial" w:hAnsi="Arial"/>
              </w:rPr>
            </w:pPr>
            <w:r>
              <w:rPr>
                <w:rFonts w:ascii="Arial" w:hAnsi="Arial"/>
              </w:rPr>
              <w:t>“Colin Kirkwood”</w:t>
            </w:r>
          </w:p>
        </w:tc>
        <w:tc>
          <w:tcPr>
            <w:tcW w:w="1188" w:type="dxa"/>
          </w:tcPr>
          <w:p w:rsidR="00721297" w:rsidRDefault="003B5B79">
            <w:pPr>
              <w:rPr>
                <w:rFonts w:ascii="Arial" w:hAnsi="Arial"/>
              </w:rPr>
            </w:pPr>
            <w:r>
              <w:rPr>
                <w:rFonts w:ascii="Arial" w:hAnsi="Arial"/>
              </w:rPr>
              <w:t>June/14</w:t>
            </w:r>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030365">
            <w:pPr>
              <w:pStyle w:val="Heading2"/>
              <w:rPr>
                <w:rFonts w:ascii="Arial" w:hAnsi="Arial"/>
                <w:lang w:val="en-US"/>
              </w:rPr>
            </w:pPr>
            <w:r>
              <w:rPr>
                <w:rFonts w:ascii="Arial" w:hAnsi="Arial"/>
                <w:lang w:val="en-US"/>
              </w:rPr>
              <w:t>DEAN</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The </w:t>
            </w:r>
            <w:smartTag w:uri="urn:schemas-microsoft-com:office:smarttags" w:element="place">
              <w:smartTag w:uri="urn:schemas-microsoft-com:office:smarttags" w:element="PlaceName">
                <w:r w:rsidR="00721297">
                  <w:rPr>
                    <w:rFonts w:ascii="Arial" w:hAnsi="Arial"/>
                  </w:rPr>
                  <w:t>Sault</w:t>
                </w:r>
              </w:smartTag>
              <w:r w:rsidR="00721297">
                <w:rPr>
                  <w:rFonts w:ascii="Arial" w:hAnsi="Arial"/>
                </w:rPr>
                <w:t xml:space="preserve"> </w:t>
              </w:r>
              <w:smartTag w:uri="urn:schemas-microsoft-com:office:smarttags" w:element="PlaceType">
                <w:r w:rsidR="00721297">
                  <w:rPr>
                    <w:rFonts w:ascii="Arial" w:hAnsi="Arial"/>
                  </w:rPr>
                  <w:t>College</w:t>
                </w:r>
              </w:smartTag>
            </w:smartTag>
            <w:r w:rsidR="00721297">
              <w:rPr>
                <w:rFonts w:ascii="Arial" w:hAnsi="Arial"/>
              </w:rPr>
              <w:t xml:space="preserv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AD0342">
              <w:rPr>
                <w:rFonts w:ascii="Arial" w:hAnsi="Arial"/>
                <w:b w:val="0"/>
                <w:i/>
              </w:rPr>
              <w:t>Colin Kirkwood</w:t>
            </w:r>
            <w:r w:rsidR="00CE0FF3">
              <w:rPr>
                <w:rFonts w:ascii="Arial" w:hAnsi="Arial"/>
                <w:b w:val="0"/>
                <w:i/>
              </w:rPr>
              <w:t xml:space="preserve">, </w:t>
            </w:r>
            <w:r w:rsidR="00AD0342">
              <w:rPr>
                <w:rFonts w:ascii="Arial" w:hAnsi="Arial"/>
                <w:b w:val="0"/>
                <w:i/>
              </w:rPr>
              <w:t>Dean</w:t>
            </w:r>
          </w:p>
        </w:tc>
      </w:tr>
      <w:tr w:rsidR="00721297">
        <w:trPr>
          <w:cantSplit/>
        </w:trPr>
        <w:tc>
          <w:tcPr>
            <w:tcW w:w="8856" w:type="dxa"/>
            <w:gridSpan w:val="7"/>
          </w:tcPr>
          <w:p w:rsidR="00721297" w:rsidRPr="00CE0FF3" w:rsidRDefault="00CE0FF3" w:rsidP="00AD0342">
            <w:pPr>
              <w:tabs>
                <w:tab w:val="center" w:pos="4560"/>
              </w:tabs>
              <w:jc w:val="center"/>
              <w:rPr>
                <w:rFonts w:ascii="Arial" w:hAnsi="Arial"/>
                <w:i/>
                <w:lang w:val="en-GB"/>
              </w:rPr>
            </w:pPr>
            <w:r w:rsidRPr="00CE0FF3">
              <w:rPr>
                <w:rFonts w:ascii="Arial" w:hAnsi="Arial" w:cs="Arial"/>
                <w:i/>
              </w:rPr>
              <w:t xml:space="preserve">School of </w:t>
            </w:r>
            <w:r w:rsidR="00AD0342">
              <w:rPr>
                <w:rFonts w:ascii="Arial" w:hAnsi="Arial" w:cs="Arial"/>
                <w:i/>
              </w:rPr>
              <w:t>Environment, Technology and Business</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w:t>
            </w:r>
            <w:r w:rsidR="00AD0342">
              <w:rPr>
                <w:rFonts w:ascii="Arial" w:hAnsi="Arial"/>
                <w:i/>
                <w:lang w:val="en-GB"/>
              </w:rPr>
              <w:t>688</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This course will review and expand on the topics covered in previous accounting courses</w:t>
            </w:r>
            <w:r w:rsidR="007B37C9">
              <w:rPr>
                <w:rFonts w:ascii="Arial" w:hAnsi="Arial"/>
              </w:rPr>
              <w:t xml:space="preserve"> and the transition to an IFRS/ASPE world of accounting</w:t>
            </w:r>
            <w:r>
              <w:rPr>
                <w:rFonts w:ascii="Arial" w:hAnsi="Arial"/>
              </w:rPr>
              <w:t xml:space="preserve">.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r w:rsidR="00245D71">
              <w:t>pon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Illustrate an understanding of the accounting environment in Canada</w:t>
            </w:r>
            <w:r w:rsidR="000860AE">
              <w:t>, its move to IFRS</w:t>
            </w:r>
            <w:r>
              <w:t xml:space="preserve">, </w:t>
            </w:r>
            <w:r w:rsidR="004C5730">
              <w:t xml:space="preserve">financial reporting for public versus private companies ,a company’s financial reporting objectives, </w:t>
            </w:r>
            <w:r>
              <w:t>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rsidP="004C5730">
            <w:pPr>
              <w:pStyle w:val="EnvelopeReturn"/>
              <w:numPr>
                <w:ilvl w:val="0"/>
                <w:numId w:val="13"/>
              </w:numPr>
            </w:pPr>
            <w:r>
              <w:t>Examine the history of accounting theory</w:t>
            </w:r>
          </w:p>
          <w:p w:rsidR="004C5730" w:rsidRDefault="004C5730" w:rsidP="004C5730">
            <w:pPr>
              <w:pStyle w:val="EnvelopeReturn"/>
              <w:numPr>
                <w:ilvl w:val="0"/>
                <w:numId w:val="13"/>
              </w:numPr>
            </w:pPr>
            <w:r>
              <w:t>Determine accounting standards for public and  private enterprises</w:t>
            </w:r>
          </w:p>
          <w:p w:rsidR="004C5730" w:rsidRDefault="004C5730" w:rsidP="004C5730">
            <w:pPr>
              <w:pStyle w:val="EnvelopeReturn"/>
              <w:numPr>
                <w:ilvl w:val="0"/>
                <w:numId w:val="13"/>
              </w:numPr>
            </w:pPr>
            <w:r>
              <w:t>Describe the objectives</w:t>
            </w:r>
            <w:r w:rsidR="00D9214A">
              <w:t xml:space="preserve"> and motivations</w:t>
            </w:r>
            <w:r>
              <w:t xml:space="preserve"> for financial reporting</w:t>
            </w:r>
          </w:p>
          <w:p w:rsidR="00245D71" w:rsidRPr="00D9214A" w:rsidRDefault="00245D71" w:rsidP="00D9214A">
            <w:pPr>
              <w:pStyle w:val="EnvelopeReturn"/>
              <w:ind w:left="360"/>
            </w:pPr>
          </w:p>
          <w:p w:rsidR="00245D71" w:rsidRDefault="00245D71">
            <w:pPr>
              <w:rPr>
                <w:rFonts w:ascii="Arial" w:hAnsi="Arial"/>
              </w:rPr>
            </w:pPr>
            <w:r>
              <w:rPr>
                <w:rFonts w:ascii="Arial" w:hAnsi="Arial"/>
              </w:rPr>
              <w:t xml:space="preserve">This learning outcome </w:t>
            </w:r>
            <w:r w:rsidR="00D9214A">
              <w:rPr>
                <w:rFonts w:ascii="Arial" w:hAnsi="Arial"/>
              </w:rPr>
              <w:t>will constitute approximately 15</w:t>
            </w:r>
            <w:r>
              <w:rPr>
                <w:rFonts w:ascii="Arial" w:hAnsi="Arial"/>
              </w:rPr>
              <w:t xml:space="preserve">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 xml:space="preserve">Demonstrate the accounting process at the intermediate level with emphasis </w:t>
            </w:r>
            <w:r w:rsidR="00D9214A">
              <w:rPr>
                <w:rFonts w:ascii="Arial" w:hAnsi="Arial"/>
              </w:rPr>
              <w:t xml:space="preserve">on profession judgement </w:t>
            </w:r>
            <w:r w:rsidR="00D709F3">
              <w:rPr>
                <w:rFonts w:ascii="Arial" w:hAnsi="Arial"/>
              </w:rPr>
              <w:t xml:space="preserve"> in the adoption of appropriate accounting policies and procedures by management</w:t>
            </w:r>
            <w:r w:rsidR="00D9214A">
              <w:rPr>
                <w:rFonts w:ascii="Arial" w:hAnsi="Arial"/>
              </w:rPr>
              <w:t xml:space="preserve"> </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D709F3" w:rsidRDefault="00D709F3" w:rsidP="00D709F3">
            <w:pPr>
              <w:numPr>
                <w:ilvl w:val="0"/>
                <w:numId w:val="29"/>
              </w:numPr>
              <w:rPr>
                <w:rFonts w:ascii="Arial" w:hAnsi="Arial"/>
              </w:rPr>
            </w:pPr>
            <w:r>
              <w:rPr>
                <w:rFonts w:ascii="Arial" w:hAnsi="Arial"/>
              </w:rPr>
              <w:t>explain the underlying assumptions of the accounting model</w:t>
            </w:r>
          </w:p>
          <w:p w:rsidR="00D709F3" w:rsidRDefault="00D709F3" w:rsidP="00D709F3">
            <w:pPr>
              <w:pStyle w:val="EnvelopeReturn"/>
              <w:numPr>
                <w:ilvl w:val="0"/>
                <w:numId w:val="29"/>
              </w:numPr>
            </w:pPr>
            <w:r>
              <w:t>discuss the qualitative criteria needed to provide useful information</w:t>
            </w:r>
          </w:p>
          <w:p w:rsidR="00D709F3" w:rsidRDefault="00D709F3" w:rsidP="00D709F3">
            <w:pPr>
              <w:pStyle w:val="EnvelopeReturn"/>
              <w:numPr>
                <w:ilvl w:val="0"/>
                <w:numId w:val="29"/>
              </w:numPr>
            </w:pPr>
            <w:r>
              <w:t>show how these criteria are used to guide management in adopting accounting policies and making estimates</w:t>
            </w:r>
          </w:p>
          <w:p w:rsidR="00D709F3" w:rsidRDefault="00D709F3" w:rsidP="00D709F3">
            <w:pPr>
              <w:pStyle w:val="EnvelopeReturn"/>
              <w:numPr>
                <w:ilvl w:val="0"/>
                <w:numId w:val="29"/>
              </w:numPr>
            </w:pPr>
            <w:r>
              <w:t>identify and explain the principles of generally accepted accounting components</w:t>
            </w:r>
          </w:p>
          <w:p w:rsidR="00F8603B" w:rsidRDefault="00F8603B" w:rsidP="00D709F3">
            <w:pPr>
              <w:pStyle w:val="EnvelopeReturn"/>
              <w:numPr>
                <w:ilvl w:val="0"/>
                <w:numId w:val="29"/>
              </w:numPr>
            </w:pPr>
            <w:r>
              <w:t>determine the elements of financial statements and when it is appropriate to recognize them</w:t>
            </w:r>
          </w:p>
          <w:p w:rsidR="00D709F3" w:rsidRDefault="00D709F3" w:rsidP="00D709F3">
            <w:pPr>
              <w:pStyle w:val="EnvelopeReturn"/>
              <w:ind w:left="360"/>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rsidP="004A503A">
            <w:r>
              <w:rPr>
                <w:rFonts w:ascii="Arial" w:hAnsi="Arial"/>
              </w:rPr>
              <w:t>Display a deeper understanding of the main financial statements and related issues of importance to maintain public confidence in the accounting product.</w:t>
            </w:r>
          </w:p>
        </w:tc>
      </w:tr>
    </w:tbl>
    <w:p w:rsidR="008630F2" w:rsidRDefault="008630F2"/>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876B92" w:rsidRDefault="00245D71" w:rsidP="00876B92">
            <w:pPr>
              <w:pStyle w:val="EnvelopeReturn"/>
            </w:pPr>
            <w:r>
              <w:rPr>
                <w:u w:val="single"/>
              </w:rPr>
              <w:t>Potential Elements of the Performance</w:t>
            </w:r>
            <w:r>
              <w:t>:</w:t>
            </w:r>
          </w:p>
          <w:p w:rsidR="00876B92" w:rsidRDefault="00876B92">
            <w:pPr>
              <w:numPr>
                <w:ilvl w:val="0"/>
                <w:numId w:val="13"/>
              </w:numPr>
              <w:rPr>
                <w:rFonts w:ascii="Arial" w:hAnsi="Arial"/>
              </w:rPr>
            </w:pPr>
            <w:r>
              <w:rPr>
                <w:rFonts w:ascii="Arial" w:hAnsi="Arial"/>
              </w:rPr>
              <w:t>describe the nature of income and comprehensive income</w:t>
            </w:r>
          </w:p>
          <w:p w:rsidR="00876B92" w:rsidRDefault="00876B92" w:rsidP="00876B92">
            <w:pPr>
              <w:numPr>
                <w:ilvl w:val="0"/>
                <w:numId w:val="13"/>
              </w:numPr>
              <w:rPr>
                <w:rFonts w:ascii="Arial" w:hAnsi="Arial"/>
              </w:rPr>
            </w:pPr>
            <w:r>
              <w:rPr>
                <w:rFonts w:ascii="Arial" w:hAnsi="Arial"/>
              </w:rPr>
              <w:t>recognize and prepare multiple step and single step income statements</w:t>
            </w:r>
          </w:p>
          <w:p w:rsidR="00876B92" w:rsidRDefault="00876B92">
            <w:pPr>
              <w:numPr>
                <w:ilvl w:val="0"/>
                <w:numId w:val="13"/>
              </w:numPr>
              <w:rPr>
                <w:rFonts w:ascii="Arial" w:hAnsi="Arial"/>
              </w:rPr>
            </w:pPr>
            <w:r>
              <w:rPr>
                <w:rFonts w:ascii="Arial" w:hAnsi="Arial"/>
              </w:rPr>
              <w:t>account properly for ass</w:t>
            </w:r>
            <w:r w:rsidR="00974CFF">
              <w:rPr>
                <w:rFonts w:ascii="Arial" w:hAnsi="Arial"/>
              </w:rPr>
              <w:t xml:space="preserve">et disposals and restructuring and discontinued operations </w:t>
            </w:r>
          </w:p>
          <w:p w:rsidR="00974CFF" w:rsidRDefault="00974CFF">
            <w:pPr>
              <w:numPr>
                <w:ilvl w:val="0"/>
                <w:numId w:val="13"/>
              </w:numPr>
              <w:rPr>
                <w:rFonts w:ascii="Arial" w:hAnsi="Arial"/>
              </w:rPr>
            </w:pPr>
            <w:r>
              <w:rPr>
                <w:rFonts w:ascii="Arial" w:hAnsi="Arial"/>
              </w:rPr>
              <w:t>explain the difference between intraperiod tax allocation and interperiod tax allocation</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974CFF" w:rsidRDefault="00974CFF">
            <w:pPr>
              <w:numPr>
                <w:ilvl w:val="0"/>
                <w:numId w:val="13"/>
              </w:numPr>
              <w:rPr>
                <w:rFonts w:ascii="Arial" w:hAnsi="Arial"/>
              </w:rPr>
            </w:pPr>
            <w:r>
              <w:rPr>
                <w:rFonts w:ascii="Arial" w:hAnsi="Arial"/>
              </w:rPr>
              <w:t>identify and describe the items that will appear on the Statement of Financial Position</w:t>
            </w:r>
          </w:p>
          <w:p w:rsidR="00974CFF" w:rsidRDefault="00974CFF">
            <w:pPr>
              <w:numPr>
                <w:ilvl w:val="0"/>
                <w:numId w:val="13"/>
              </w:numPr>
              <w:rPr>
                <w:rFonts w:ascii="Arial" w:hAnsi="Arial"/>
              </w:rPr>
            </w:pPr>
            <w:r>
              <w:rPr>
                <w:rFonts w:ascii="Arial" w:hAnsi="Arial"/>
              </w:rPr>
              <w:t>Classify major  items and prepare a classified SFP</w:t>
            </w:r>
          </w:p>
          <w:p w:rsidR="00974CFF" w:rsidRDefault="00974CFF">
            <w:pPr>
              <w:numPr>
                <w:ilvl w:val="0"/>
                <w:numId w:val="13"/>
              </w:numPr>
              <w:rPr>
                <w:rFonts w:ascii="Arial" w:hAnsi="Arial"/>
              </w:rPr>
            </w:pPr>
            <w:r>
              <w:rPr>
                <w:rFonts w:ascii="Arial" w:hAnsi="Arial"/>
              </w:rPr>
              <w:t>describe the purposes and limitations of this statement</w:t>
            </w:r>
          </w:p>
          <w:p w:rsidR="00974CFF" w:rsidRDefault="00974CFF">
            <w:pPr>
              <w:numPr>
                <w:ilvl w:val="0"/>
                <w:numId w:val="13"/>
              </w:numPr>
              <w:rPr>
                <w:rFonts w:ascii="Arial" w:hAnsi="Arial"/>
              </w:rPr>
            </w:pPr>
            <w:r>
              <w:rPr>
                <w:rFonts w:ascii="Arial" w:hAnsi="Arial"/>
              </w:rPr>
              <w:t>identify and describe the items that will appear on the Statement of Changes in Equity</w:t>
            </w:r>
          </w:p>
          <w:p w:rsidR="00245D71" w:rsidRDefault="00245D71">
            <w:pPr>
              <w:numPr>
                <w:ilvl w:val="0"/>
                <w:numId w:val="13"/>
              </w:numPr>
              <w:rPr>
                <w:rFonts w:ascii="Arial" w:hAnsi="Arial"/>
              </w:rPr>
            </w:pPr>
            <w:r>
              <w:rPr>
                <w:rFonts w:ascii="Arial" w:hAnsi="Arial"/>
              </w:rPr>
              <w:t xml:space="preserve">demonstrate accounting for the correction of errors: </w:t>
            </w:r>
            <w:r w:rsidR="009857ED">
              <w:rPr>
                <w:rFonts w:ascii="Arial" w:hAnsi="Arial"/>
              </w:rPr>
              <w:t>changes in accounting policies; and prior period error corrections and other changes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w:t>
            </w:r>
            <w:r w:rsidR="00F8603B">
              <w:rPr>
                <w:rFonts w:ascii="Arial" w:hAnsi="Arial"/>
              </w:rPr>
              <w:t>rning outcome will constitute 35</w:t>
            </w:r>
            <w:r>
              <w:rPr>
                <w:rFonts w:ascii="Arial" w:hAnsi="Arial"/>
              </w:rPr>
              <w:t>%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6D6DDF" w:rsidRPr="004A503A" w:rsidRDefault="00245D71" w:rsidP="006D6DDF">
            <w:pPr>
              <w:pStyle w:val="EnvelopeReturn"/>
            </w:pPr>
            <w:r>
              <w:t>Identify issues of importance in</w:t>
            </w:r>
            <w:r w:rsidR="006D6DDF">
              <w:t xml:space="preserve"> understanding and preparing a Statement of Cash F</w:t>
            </w:r>
            <w:r>
              <w:t>low</w:t>
            </w:r>
            <w:r w:rsidR="006D6DDF">
              <w:t>s</w:t>
            </w:r>
          </w:p>
        </w:tc>
      </w:tr>
    </w:tbl>
    <w:p w:rsidR="00806F9A" w:rsidRDefault="00806F9A"/>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9857ED" w:rsidRDefault="00245D71" w:rsidP="009857ED">
            <w:pPr>
              <w:rPr>
                <w:rFonts w:ascii="Arial" w:hAnsi="Arial" w:cs="Arial"/>
              </w:rPr>
            </w:pPr>
            <w:r w:rsidRPr="00F8221B">
              <w:rPr>
                <w:rFonts w:ascii="Arial" w:hAnsi="Arial" w:cs="Arial"/>
                <w:u w:val="single"/>
              </w:rPr>
              <w:t>Potential Elements of the Performance</w:t>
            </w:r>
          </w:p>
          <w:p w:rsidR="009857ED" w:rsidRDefault="009857ED">
            <w:pPr>
              <w:numPr>
                <w:ilvl w:val="0"/>
                <w:numId w:val="13"/>
              </w:numPr>
              <w:rPr>
                <w:rFonts w:ascii="Arial" w:hAnsi="Arial" w:cs="Arial"/>
              </w:rPr>
            </w:pPr>
            <w:r>
              <w:rPr>
                <w:rFonts w:ascii="Arial" w:hAnsi="Arial" w:cs="Arial"/>
              </w:rPr>
              <w:t>Describe the purpose of the Statement of Cash Flows</w:t>
            </w:r>
          </w:p>
          <w:p w:rsidR="009857ED" w:rsidRPr="00F8221B" w:rsidRDefault="009857ED">
            <w:pPr>
              <w:numPr>
                <w:ilvl w:val="0"/>
                <w:numId w:val="13"/>
              </w:numPr>
              <w:rPr>
                <w:rFonts w:ascii="Arial" w:hAnsi="Arial" w:cs="Arial"/>
              </w:rPr>
            </w:pPr>
            <w:r>
              <w:rPr>
                <w:rFonts w:ascii="Arial" w:hAnsi="Arial" w:cs="Arial"/>
              </w:rPr>
              <w:t>Identify the classifications of cash flows</w:t>
            </w:r>
          </w:p>
          <w:p w:rsidR="00245D71" w:rsidRDefault="00245D71">
            <w:pPr>
              <w:numPr>
                <w:ilvl w:val="0"/>
                <w:numId w:val="13"/>
              </w:numPr>
              <w:rPr>
                <w:rFonts w:ascii="Arial" w:hAnsi="Arial"/>
              </w:rPr>
            </w:pPr>
            <w:r>
              <w:rPr>
                <w:rFonts w:ascii="Arial" w:hAnsi="Arial"/>
              </w:rPr>
              <w:t>Determine the methods for preparat</w:t>
            </w:r>
            <w:r w:rsidR="009857ED">
              <w:rPr>
                <w:rFonts w:ascii="Arial" w:hAnsi="Arial"/>
              </w:rPr>
              <w:t>ion of the SCF</w:t>
            </w:r>
          </w:p>
          <w:p w:rsidR="009857ED" w:rsidRDefault="009857ED">
            <w:pPr>
              <w:numPr>
                <w:ilvl w:val="0"/>
                <w:numId w:val="13"/>
              </w:numPr>
              <w:rPr>
                <w:rFonts w:ascii="Arial" w:hAnsi="Arial"/>
              </w:rPr>
            </w:pPr>
            <w:r>
              <w:rPr>
                <w:rFonts w:ascii="Arial" w:hAnsi="Arial"/>
              </w:rPr>
              <w:t>Prepare the SFC on the direct and indirect methods</w:t>
            </w:r>
          </w:p>
          <w:p w:rsidR="004A503A" w:rsidRDefault="004A503A">
            <w:pPr>
              <w:numPr>
                <w:ilvl w:val="0"/>
                <w:numId w:val="13"/>
              </w:numPr>
              <w:rPr>
                <w:rFonts w:ascii="Arial" w:hAnsi="Arial"/>
              </w:rPr>
            </w:pPr>
            <w:r>
              <w:rPr>
                <w:rFonts w:ascii="Arial" w:hAnsi="Arial"/>
              </w:rPr>
              <w:t>Discuss disclosure and classification of Interest, Dividends and Income tax cash flows</w:t>
            </w:r>
          </w:p>
          <w:p w:rsidR="004A503A" w:rsidRDefault="004A503A">
            <w:pPr>
              <w:numPr>
                <w:ilvl w:val="0"/>
                <w:numId w:val="13"/>
              </w:numPr>
              <w:rPr>
                <w:rFonts w:ascii="Arial" w:hAnsi="Arial"/>
              </w:rPr>
            </w:pPr>
            <w:r>
              <w:rPr>
                <w:rFonts w:ascii="Arial" w:hAnsi="Arial"/>
              </w:rPr>
              <w:t>Examine interpretation issues of the SCF</w:t>
            </w:r>
          </w:p>
          <w:p w:rsidR="004A503A" w:rsidRDefault="004A503A">
            <w:pPr>
              <w:numPr>
                <w:ilvl w:val="0"/>
                <w:numId w:val="13"/>
              </w:numPr>
              <w:rPr>
                <w:rFonts w:ascii="Arial" w:hAnsi="Arial"/>
              </w:rPr>
            </w:pPr>
            <w:r>
              <w:rPr>
                <w:rFonts w:ascii="Arial" w:hAnsi="Arial"/>
              </w:rPr>
              <w:t>Use T-Account meth</w:t>
            </w:r>
            <w:r w:rsidR="00AD0342">
              <w:rPr>
                <w:rFonts w:ascii="Arial" w:hAnsi="Arial"/>
              </w:rPr>
              <w:t>o</w:t>
            </w:r>
            <w:r>
              <w:rPr>
                <w:rFonts w:ascii="Arial" w:hAnsi="Arial"/>
              </w:rPr>
              <w:t>d for analyzing more complex cash flow situations</w:t>
            </w:r>
          </w:p>
          <w:p w:rsidR="00245D71" w:rsidRDefault="00245D71">
            <w:pPr>
              <w:rPr>
                <w:rFonts w:ascii="Arial" w:hAnsi="Arial"/>
              </w:rPr>
            </w:pPr>
          </w:p>
          <w:p w:rsidR="00245D71" w:rsidRDefault="00245D71">
            <w:pPr>
              <w:rPr>
                <w:rFonts w:ascii="Arial" w:hAnsi="Arial"/>
              </w:rPr>
            </w:pPr>
            <w:r>
              <w:rPr>
                <w:rFonts w:ascii="Arial" w:hAnsi="Arial"/>
              </w:rPr>
              <w:t>This lea</w:t>
            </w:r>
            <w:r w:rsidR="00F8603B">
              <w:rPr>
                <w:rFonts w:ascii="Arial" w:hAnsi="Arial"/>
              </w:rPr>
              <w:t>rning outcome will constitute 20</w:t>
            </w:r>
            <w:r>
              <w:rPr>
                <w:rFonts w:ascii="Arial" w:hAnsi="Arial"/>
              </w:rPr>
              <w:t>%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firstRow="0" w:lastRow="0" w:firstColumn="0" w:lastColumn="0" w:noHBand="0" w:noVBand="0"/>
            </w:tblPr>
            <w:tblGrid>
              <w:gridCol w:w="270"/>
              <w:gridCol w:w="7901"/>
            </w:tblGrid>
            <w:tr w:rsidR="00245D71">
              <w:trPr>
                <w:cantSplit/>
              </w:trPr>
              <w:tc>
                <w:tcPr>
                  <w:tcW w:w="8171" w:type="dxa"/>
                  <w:gridSpan w:val="2"/>
                </w:tcPr>
                <w:p w:rsidR="00806F9A" w:rsidRDefault="006D6DDF">
                  <w:pPr>
                    <w:pStyle w:val="EnvelopeReturn"/>
                    <w:rPr>
                      <w:rFonts w:cs="Arial"/>
                    </w:rPr>
                  </w:pPr>
                  <w:r w:rsidRPr="006D6DDF">
                    <w:rPr>
                      <w:rFonts w:cs="Arial"/>
                    </w:rPr>
                    <w:t>Illustrate an understanding of</w:t>
                  </w:r>
                  <w:r>
                    <w:rPr>
                      <w:rFonts w:ascii="Times New Roman" w:hAnsi="Times New Roman"/>
                    </w:rPr>
                    <w:t xml:space="preserve"> </w:t>
                  </w:r>
                  <w:r>
                    <w:rPr>
                      <w:rFonts w:cs="Arial"/>
                    </w:rPr>
                    <w:t>how revenue</w:t>
                  </w:r>
                  <w:r w:rsidR="006E79B6">
                    <w:rPr>
                      <w:rFonts w:cs="Arial"/>
                    </w:rPr>
                    <w:t>s</w:t>
                  </w:r>
                  <w:r w:rsidR="00806F9A">
                    <w:rPr>
                      <w:rFonts w:cs="Arial"/>
                    </w:rPr>
                    <w:t xml:space="preserve"> and expenses </w:t>
                  </w:r>
                </w:p>
                <w:p w:rsidR="00806F9A" w:rsidRDefault="006D6DDF">
                  <w:pPr>
                    <w:pStyle w:val="EnvelopeReturn"/>
                    <w:rPr>
                      <w:rFonts w:cs="Arial"/>
                    </w:rPr>
                  </w:pPr>
                  <w:r>
                    <w:rPr>
                      <w:rFonts w:cs="Arial"/>
                    </w:rPr>
                    <w:t xml:space="preserve"> from complex and long term earning processes</w:t>
                  </w:r>
                  <w:r w:rsidR="006E79B6">
                    <w:rPr>
                      <w:rFonts w:cs="Arial"/>
                    </w:rPr>
                    <w:t xml:space="preserve"> are </w:t>
                  </w:r>
                  <w:r>
                    <w:rPr>
                      <w:rFonts w:cs="Arial"/>
                    </w:rPr>
                    <w:t>measured</w:t>
                  </w:r>
                </w:p>
                <w:p w:rsidR="00245D71" w:rsidRDefault="00806F9A" w:rsidP="00806F9A">
                  <w:pPr>
                    <w:pStyle w:val="EnvelopeReturn"/>
                    <w:rPr>
                      <w:rFonts w:cs="Arial"/>
                    </w:rPr>
                  </w:pPr>
                  <w:r>
                    <w:rPr>
                      <w:rFonts w:cs="Arial"/>
                    </w:rPr>
                    <w:t xml:space="preserve"> and when they</w:t>
                  </w:r>
                  <w:r w:rsidR="006D6DDF">
                    <w:rPr>
                      <w:rFonts w:cs="Arial"/>
                    </w:rPr>
                    <w:t xml:space="preserve"> should be recognized.</w:t>
                  </w:r>
                </w:p>
                <w:p w:rsidR="00806F9A" w:rsidRDefault="00806F9A" w:rsidP="00806F9A">
                  <w:pPr>
                    <w:pStyle w:val="EnvelopeReturn"/>
                    <w:rPr>
                      <w:rFonts w:cs="Arial"/>
                    </w:rPr>
                  </w:pPr>
                </w:p>
                <w:p w:rsidR="00806F9A" w:rsidRPr="009857ED" w:rsidRDefault="00806F9A" w:rsidP="00806F9A">
                  <w:pPr>
                    <w:rPr>
                      <w:rFonts w:ascii="Arial" w:hAnsi="Arial" w:cs="Arial"/>
                    </w:rPr>
                  </w:pPr>
                  <w:r w:rsidRPr="00F8221B">
                    <w:rPr>
                      <w:rFonts w:ascii="Arial" w:hAnsi="Arial" w:cs="Arial"/>
                      <w:u w:val="single"/>
                    </w:rPr>
                    <w:t>Potential Elements of the Performance</w:t>
                  </w:r>
                </w:p>
                <w:p w:rsidR="00806F9A" w:rsidRDefault="00806F9A" w:rsidP="00806F9A">
                  <w:pPr>
                    <w:numPr>
                      <w:ilvl w:val="0"/>
                      <w:numId w:val="13"/>
                    </w:numPr>
                    <w:rPr>
                      <w:rFonts w:ascii="Arial" w:hAnsi="Arial"/>
                    </w:rPr>
                  </w:pPr>
                  <w:r w:rsidRPr="00806F9A">
                    <w:rPr>
                      <w:rFonts w:ascii="Arial" w:hAnsi="Arial"/>
                    </w:rPr>
                    <w:t>define revenue</w:t>
                  </w:r>
                  <w:r w:rsidR="004A503A">
                    <w:rPr>
                      <w:rFonts w:ascii="Arial" w:hAnsi="Arial"/>
                    </w:rPr>
                    <w:t>s, e</w:t>
                  </w:r>
                  <w:r w:rsidRPr="00806F9A">
                    <w:rPr>
                      <w:rFonts w:ascii="Arial" w:hAnsi="Arial"/>
                    </w:rPr>
                    <w:t>xpense</w:t>
                  </w:r>
                  <w:r w:rsidR="004A503A">
                    <w:rPr>
                      <w:rFonts w:ascii="Arial" w:hAnsi="Arial"/>
                    </w:rPr>
                    <w:t>s, gains and losses</w:t>
                  </w:r>
                </w:p>
                <w:p w:rsidR="00806F9A" w:rsidRPr="00806F9A" w:rsidRDefault="006E79B6" w:rsidP="00806F9A">
                  <w:pPr>
                    <w:numPr>
                      <w:ilvl w:val="0"/>
                      <w:numId w:val="13"/>
                    </w:numPr>
                    <w:rPr>
                      <w:rFonts w:ascii="Arial" w:hAnsi="Arial"/>
                    </w:rPr>
                  </w:pPr>
                  <w:r>
                    <w:rPr>
                      <w:rFonts w:ascii="Arial" w:hAnsi="Arial"/>
                    </w:rPr>
                    <w:t>explain</w:t>
                  </w:r>
                  <w:r w:rsidR="00806F9A" w:rsidRPr="00806F9A">
                    <w:rPr>
                      <w:rFonts w:ascii="Arial" w:hAnsi="Arial"/>
                    </w:rPr>
                    <w:t xml:space="preserve"> the revenue recognition process and the critical event</w:t>
                  </w:r>
                </w:p>
                <w:p w:rsidR="00806F9A" w:rsidRDefault="006E79B6" w:rsidP="00806F9A">
                  <w:pPr>
                    <w:numPr>
                      <w:ilvl w:val="0"/>
                      <w:numId w:val="13"/>
                    </w:numPr>
                    <w:rPr>
                      <w:rFonts w:ascii="Arial" w:hAnsi="Arial" w:cs="Arial"/>
                    </w:rPr>
                  </w:pPr>
                  <w:r>
                    <w:rPr>
                      <w:rFonts w:ascii="Arial" w:hAnsi="Arial" w:cs="Arial"/>
                    </w:rPr>
                    <w:t>account for various types of revenue generating activities</w:t>
                  </w:r>
                </w:p>
                <w:p w:rsidR="006E79B6" w:rsidRDefault="006E79B6" w:rsidP="00806F9A">
                  <w:pPr>
                    <w:numPr>
                      <w:ilvl w:val="0"/>
                      <w:numId w:val="13"/>
                    </w:numPr>
                    <w:rPr>
                      <w:rFonts w:ascii="Arial" w:hAnsi="Arial" w:cs="Arial"/>
                    </w:rPr>
                  </w:pPr>
                  <w:r>
                    <w:rPr>
                      <w:rFonts w:ascii="Arial" w:hAnsi="Arial" w:cs="Arial"/>
                    </w:rPr>
                    <w:t>account for revenue and losses on long-term contracts</w:t>
                  </w:r>
                </w:p>
                <w:p w:rsidR="004A503A" w:rsidRPr="00806F9A" w:rsidRDefault="004A503A" w:rsidP="004A503A">
                  <w:pPr>
                    <w:numPr>
                      <w:ilvl w:val="0"/>
                      <w:numId w:val="13"/>
                    </w:numPr>
                    <w:rPr>
                      <w:rFonts w:ascii="Arial" w:hAnsi="Arial"/>
                    </w:rPr>
                  </w:pPr>
                  <w:r>
                    <w:rPr>
                      <w:rFonts w:ascii="Arial" w:hAnsi="Arial"/>
                    </w:rPr>
                    <w:t>describe the effects of policies on key financial results</w:t>
                  </w:r>
                </w:p>
                <w:p w:rsidR="004A503A" w:rsidRDefault="004A503A" w:rsidP="00806F9A">
                  <w:pPr>
                    <w:numPr>
                      <w:ilvl w:val="0"/>
                      <w:numId w:val="13"/>
                    </w:numPr>
                    <w:rPr>
                      <w:rFonts w:ascii="Arial" w:hAnsi="Arial" w:cs="Arial"/>
                    </w:rPr>
                  </w:pPr>
                  <w:r>
                    <w:rPr>
                      <w:rFonts w:ascii="Arial" w:hAnsi="Arial" w:cs="Arial"/>
                    </w:rPr>
                    <w:t>recognize how to account for non-monetary transactions</w:t>
                  </w:r>
                </w:p>
                <w:p w:rsidR="006E79B6" w:rsidRDefault="006E79B6" w:rsidP="00806F9A">
                  <w:pPr>
                    <w:numPr>
                      <w:ilvl w:val="0"/>
                      <w:numId w:val="13"/>
                    </w:numPr>
                    <w:rPr>
                      <w:rFonts w:ascii="Arial" w:hAnsi="Arial" w:cs="Arial"/>
                    </w:rPr>
                  </w:pPr>
                  <w:r>
                    <w:rPr>
                      <w:rFonts w:ascii="Arial" w:hAnsi="Arial" w:cs="Arial"/>
                    </w:rPr>
                    <w:t>explain the proper methods to account for expenditures</w:t>
                  </w:r>
                </w:p>
                <w:p w:rsidR="006E79B6" w:rsidRPr="006D6DDF" w:rsidRDefault="006E79B6" w:rsidP="00806F9A">
                  <w:pPr>
                    <w:numPr>
                      <w:ilvl w:val="0"/>
                      <w:numId w:val="13"/>
                    </w:numPr>
                    <w:rPr>
                      <w:rFonts w:ascii="Arial" w:hAnsi="Arial" w:cs="Arial"/>
                    </w:rPr>
                  </w:pPr>
                  <w:r>
                    <w:rPr>
                      <w:rFonts w:ascii="Arial" w:hAnsi="Arial" w:cs="Arial"/>
                    </w:rPr>
                    <w:t>describe the definitional approach to expense policy</w:t>
                  </w:r>
                </w:p>
              </w:tc>
            </w:tr>
            <w:tr w:rsidR="00245D71">
              <w:tc>
                <w:tcPr>
                  <w:tcW w:w="270" w:type="dxa"/>
                </w:tcPr>
                <w:p w:rsidR="00245D71" w:rsidRDefault="00245D71">
                  <w:pPr>
                    <w:pStyle w:val="EnvelopeReturn"/>
                    <w:rPr>
                      <w:rFonts w:ascii="Times New Roman" w:hAnsi="Times New Roman"/>
                    </w:rPr>
                  </w:pPr>
                </w:p>
              </w:tc>
              <w:tc>
                <w:tcPr>
                  <w:tcW w:w="7901" w:type="dxa"/>
                </w:tcPr>
                <w:p w:rsidR="00245D71" w:rsidRDefault="00245D71">
                  <w:pPr>
                    <w:pStyle w:val="EnvelopeReturn"/>
                  </w:pPr>
                </w:p>
              </w:tc>
            </w:tr>
            <w:tr w:rsidR="00245D71">
              <w:tc>
                <w:tcPr>
                  <w:tcW w:w="270" w:type="dxa"/>
                </w:tcPr>
                <w:p w:rsidR="00245D71" w:rsidRDefault="00245D71">
                  <w:pPr>
                    <w:pStyle w:val="EnvelopeReturn"/>
                    <w:rPr>
                      <w:rFonts w:ascii="Times New Roman" w:hAnsi="Times New Roman"/>
                    </w:rPr>
                  </w:pPr>
                  <w:r>
                    <w:rPr>
                      <w:rFonts w:ascii="Times New Roman" w:hAnsi="Times New Roman"/>
                    </w:rPr>
                    <w:t xml:space="preserve"> </w:t>
                  </w:r>
                </w:p>
              </w:tc>
              <w:tc>
                <w:tcPr>
                  <w:tcW w:w="7901" w:type="dxa"/>
                </w:tcPr>
                <w:p w:rsidR="00245D71" w:rsidRDefault="00245D71">
                  <w:pPr>
                    <w:pStyle w:val="EnvelopeReturn"/>
                    <w:rPr>
                      <w:rFonts w:cs="Arial"/>
                    </w:rPr>
                  </w:pPr>
                  <w:r>
                    <w:rPr>
                      <w:rFonts w:cs="Arial"/>
                    </w:rPr>
                    <w:t>This le</w:t>
                  </w:r>
                  <w:r w:rsidR="00F8603B">
                    <w:rPr>
                      <w:rFonts w:cs="Arial"/>
                    </w:rPr>
                    <w:t>arning outcome will constitute 1</w:t>
                  </w:r>
                  <w:r>
                    <w:rPr>
                      <w:rFonts w:cs="Arial"/>
                    </w:rPr>
                    <w:t>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16542" w:type="dxa"/>
        <w:tblLayout w:type="fixed"/>
        <w:tblLook w:val="0000" w:firstRow="0" w:lastRow="0" w:firstColumn="0" w:lastColumn="0" w:noHBand="0" w:noVBand="0"/>
      </w:tblPr>
      <w:tblGrid>
        <w:gridCol w:w="675"/>
        <w:gridCol w:w="8253"/>
        <w:gridCol w:w="7614"/>
      </w:tblGrid>
      <w:tr w:rsidR="00721297" w:rsidTr="000D67FB">
        <w:trPr>
          <w:cantSplit/>
        </w:trPr>
        <w:tc>
          <w:tcPr>
            <w:tcW w:w="675" w:type="dxa"/>
          </w:tcPr>
          <w:p w:rsidR="00721297" w:rsidRDefault="00721297">
            <w:pPr>
              <w:pStyle w:val="EnvelopeReturn"/>
              <w:rPr>
                <w:b/>
              </w:rPr>
            </w:pPr>
            <w:r>
              <w:rPr>
                <w:b/>
              </w:rPr>
              <w:t>III.</w:t>
            </w:r>
          </w:p>
        </w:tc>
        <w:tc>
          <w:tcPr>
            <w:tcW w:w="15867" w:type="dxa"/>
            <w:gridSpan w:val="2"/>
          </w:tcPr>
          <w:p w:rsidR="00721297" w:rsidRPr="00BF2CC4" w:rsidRDefault="00721297" w:rsidP="000D67FB">
            <w:pPr>
              <w:pStyle w:val="EnvelopeReturn"/>
              <w:rPr>
                <w:b/>
              </w:rPr>
            </w:pPr>
            <w:r>
              <w:rPr>
                <w:b/>
              </w:rPr>
              <w:t>TOPICS:</w:t>
            </w:r>
          </w:p>
        </w:tc>
      </w:tr>
      <w:tr w:rsidR="00721297" w:rsidTr="000D67FB">
        <w:tc>
          <w:tcPr>
            <w:tcW w:w="675" w:type="dxa"/>
          </w:tcPr>
          <w:p w:rsidR="00721297" w:rsidRDefault="00721297">
            <w:pPr>
              <w:pStyle w:val="EnvelopeReturn"/>
            </w:pPr>
          </w:p>
        </w:tc>
        <w:tc>
          <w:tcPr>
            <w:tcW w:w="8253" w:type="dxa"/>
          </w:tcPr>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1: The Framework for Financial Reporting</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2: Accounting Judgements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3: Statements of Income and Comprehensive Income</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4: Statements of Financial Position and Changes in Equity; Disclosure Notes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5: The Statement of Cash Flow</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6: Revenue and Expense Recognition</w:t>
            </w:r>
          </w:p>
          <w:p w:rsidR="00721297" w:rsidRDefault="00721297">
            <w:pPr>
              <w:pStyle w:val="EnvelopeReturn"/>
            </w:pPr>
          </w:p>
        </w:tc>
        <w:tc>
          <w:tcPr>
            <w:tcW w:w="7614" w:type="dxa"/>
          </w:tcPr>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lastRenderedPageBreak/>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34D32">
            <w:pPr>
              <w:rPr>
                <w:rFonts w:ascii="Arial" w:hAnsi="Arial"/>
              </w:rPr>
            </w:pPr>
            <w:r>
              <w:rPr>
                <w:rFonts w:ascii="Arial" w:hAnsi="Arial"/>
              </w:rPr>
              <w:t>Text</w:t>
            </w:r>
            <w:r w:rsidR="00245D71">
              <w:rPr>
                <w:rFonts w:ascii="Arial" w:hAnsi="Arial"/>
              </w:rPr>
              <w:t>:</w:t>
            </w:r>
          </w:p>
          <w:p w:rsidR="00F04B85" w:rsidRPr="00F8221B" w:rsidRDefault="00F04B85" w:rsidP="00F04B85">
            <w:pPr>
              <w:rPr>
                <w:rFonts w:ascii="Arial" w:hAnsi="Arial" w:cs="Arial"/>
                <w:b/>
                <w:u w:val="single"/>
              </w:rPr>
            </w:pPr>
            <w:r w:rsidRPr="00F8221B">
              <w:rPr>
                <w:rFonts w:ascii="Arial" w:hAnsi="Arial" w:cs="Arial"/>
                <w:b/>
                <w:u w:val="single"/>
              </w:rPr>
              <w:t xml:space="preserve">Intermediate Accounting, </w:t>
            </w:r>
            <w:r w:rsidR="00C87DD3">
              <w:rPr>
                <w:rFonts w:ascii="Arial" w:hAnsi="Arial" w:cs="Arial"/>
                <w:b/>
                <w:u w:val="single"/>
              </w:rPr>
              <w:t>6</w:t>
            </w:r>
            <w:bookmarkStart w:id="0" w:name="_GoBack"/>
            <w:bookmarkEnd w:id="0"/>
            <w:r w:rsidRPr="00F8221B">
              <w:rPr>
                <w:rFonts w:ascii="Arial" w:hAnsi="Arial" w:cs="Arial"/>
                <w:b/>
                <w:u w:val="single"/>
                <w:vertAlign w:val="superscript"/>
              </w:rPr>
              <w:t>th</w:t>
            </w:r>
            <w:r w:rsidRPr="00F8221B">
              <w:rPr>
                <w:rFonts w:ascii="Arial" w:hAnsi="Arial" w:cs="Arial"/>
                <w:b/>
                <w:u w:val="single"/>
              </w:rPr>
              <w:t xml:space="preserve"> Edition</w:t>
            </w:r>
          </w:p>
          <w:p w:rsidR="00F04B85" w:rsidRDefault="00F04B85" w:rsidP="00F04B85">
            <w:pPr>
              <w:rPr>
                <w:rFonts w:ascii="Arial" w:hAnsi="Arial"/>
              </w:rPr>
            </w:pPr>
            <w:r>
              <w:rPr>
                <w:rFonts w:ascii="Arial" w:hAnsi="Arial"/>
              </w:rPr>
              <w:t>Beechy, Conrod ; Volume 1</w:t>
            </w:r>
          </w:p>
          <w:p w:rsidR="00234D32" w:rsidRDefault="00234D32" w:rsidP="00F04B85">
            <w:pPr>
              <w:rPr>
                <w:rFonts w:ascii="Arial" w:hAnsi="Arial"/>
              </w:rPr>
            </w:pPr>
          </w:p>
          <w:p w:rsidR="00F04B85" w:rsidRDefault="00234D32" w:rsidP="00F04B85">
            <w:pPr>
              <w:rPr>
                <w:rFonts w:ascii="Arial" w:hAnsi="Arial"/>
              </w:rPr>
            </w:pPr>
            <w:r>
              <w:rPr>
                <w:rFonts w:ascii="Arial" w:hAnsi="Arial"/>
              </w:rPr>
              <w:t>Reference:</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8951BC">
              <w:rPr>
                <w:rFonts w:ascii="Arial" w:hAnsi="Arial" w:cs="Arial"/>
                <w:lang w:val="en-GB"/>
              </w:rPr>
              <w:t>4</w:t>
            </w:r>
            <w:r w:rsidRPr="00F8221B">
              <w:rPr>
                <w:rFonts w:ascii="Arial" w:hAnsi="Arial" w:cs="Arial"/>
                <w:lang w:val="en-GB"/>
              </w:rPr>
              <w:t>th Canadian Edition, M</w:t>
            </w:r>
            <w:r w:rsidR="00963350">
              <w:rPr>
                <w:rFonts w:ascii="Arial" w:hAnsi="Arial" w:cs="Arial"/>
                <w:lang w:val="en-GB"/>
              </w:rPr>
              <w:t>cGraw Hill Publishers  Volume I</w:t>
            </w:r>
          </w:p>
          <w:p w:rsidR="00721297" w:rsidRPr="00963350" w:rsidRDefault="00721297">
            <w:pPr>
              <w:pStyle w:val="EnvelopeReturn"/>
              <w:rPr>
                <w:lang w:val="en-GB"/>
              </w:rPr>
            </w:pP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w:t>
            </w:r>
            <w:r w:rsidR="00761E5A">
              <w:rPr>
                <w:rFonts w:ascii="Arial" w:hAnsi="Arial"/>
              </w:rPr>
              <w:t xml:space="preserve"> </w:t>
            </w:r>
            <w:r w:rsidR="004A503A">
              <w:rPr>
                <w:rFonts w:ascii="Arial" w:hAnsi="Arial"/>
              </w:rPr>
              <w:t xml:space="preserve">      20</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721297" w:rsidRDefault="00721297">
            <w:pPr>
              <w:rPr>
                <w:rFonts w:ascii="Arial" w:hAnsi="Arial"/>
              </w:rPr>
            </w:pPr>
            <w:r>
              <w:rPr>
                <w:rFonts w:ascii="Arial" w:hAnsi="Arial"/>
              </w:rPr>
              <w:t>Test #3</w:t>
            </w:r>
            <w:r w:rsidR="00F8603B">
              <w:rPr>
                <w:rFonts w:ascii="Arial" w:hAnsi="Arial"/>
              </w:rPr>
              <w:tab/>
            </w:r>
            <w:r w:rsidR="00F8603B">
              <w:rPr>
                <w:rFonts w:ascii="Arial" w:hAnsi="Arial"/>
              </w:rPr>
              <w:tab/>
              <w:t>Learning outcome 4 &amp; 5</w:t>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4A503A" w:rsidRDefault="004A503A">
            <w:pPr>
              <w:rPr>
                <w:rFonts w:ascii="Arial" w:hAnsi="Arial"/>
              </w:rPr>
            </w:pPr>
            <w:r>
              <w:rPr>
                <w:rFonts w:ascii="Arial" w:hAnsi="Arial"/>
              </w:rPr>
              <w:t>Assignments                                                                                10%</w:t>
            </w:r>
          </w:p>
          <w:p w:rsidR="004A503A" w:rsidRDefault="004A503A">
            <w:pPr>
              <w:rPr>
                <w:rFonts w:ascii="Arial" w:hAnsi="Arial"/>
              </w:rPr>
            </w:pPr>
            <w:r>
              <w:rPr>
                <w:rFonts w:ascii="Arial" w:hAnsi="Arial"/>
              </w:rPr>
              <w:t>Final exam                                                                                   30%</w:t>
            </w:r>
          </w:p>
          <w:p w:rsidR="004A503A" w:rsidRDefault="004A503A">
            <w:pPr>
              <w:rPr>
                <w:rFonts w:ascii="Arial" w:hAnsi="Arial"/>
              </w:rPr>
            </w:pP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 xml:space="preserve">A supplementary exam will administered at the end of the semester.  A student who fails a test or misses a test during the regular semester </w:t>
            </w:r>
            <w:r w:rsidR="003019C4">
              <w:rPr>
                <w:bCs/>
              </w:rPr>
              <w:t xml:space="preserve">and has attended 80% of  classes, </w:t>
            </w:r>
            <w:r>
              <w:rPr>
                <w:bCs/>
              </w:rPr>
              <w:t>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lastRenderedPageBreak/>
              <w:t xml:space="preserve">Satisfactory achievement in field </w:t>
            </w:r>
            <w:r>
              <w:rPr>
                <w:rFonts w:ascii="Arial" w:hAnsi="Arial"/>
              </w:rPr>
              <w:lastRenderedPageBreak/>
              <w:t>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721297">
      <w:pPr>
        <w:rPr>
          <w:rFonts w:ascii="Arial" w:hAnsi="Arial"/>
        </w:rPr>
      </w:pPr>
    </w:p>
    <w:tbl>
      <w:tblPr>
        <w:tblW w:w="9558" w:type="dxa"/>
        <w:tblLayout w:type="fixed"/>
        <w:tblLook w:val="0000" w:firstRow="0" w:lastRow="0" w:firstColumn="0" w:lastColumn="0" w:noHBand="0" w:noVBand="0"/>
      </w:tblPr>
      <w:tblGrid>
        <w:gridCol w:w="675"/>
        <w:gridCol w:w="8883"/>
      </w:tblGrid>
      <w:tr w:rsidR="00721297" w:rsidTr="009A007E">
        <w:trPr>
          <w:cantSplit/>
        </w:trPr>
        <w:tc>
          <w:tcPr>
            <w:tcW w:w="675" w:type="dxa"/>
          </w:tcPr>
          <w:p w:rsidR="00721297" w:rsidRDefault="002E172A">
            <w:pPr>
              <w:rPr>
                <w:rFonts w:ascii="Arial" w:hAnsi="Arial"/>
                <w:b/>
              </w:rPr>
            </w:pPr>
            <w:r>
              <w:rPr>
                <w:rFonts w:ascii="Arial" w:hAnsi="Arial"/>
                <w:b/>
              </w:rPr>
              <w:t>VI.</w:t>
            </w:r>
          </w:p>
        </w:tc>
        <w:tc>
          <w:tcPr>
            <w:tcW w:w="8883" w:type="dxa"/>
          </w:tcPr>
          <w:p w:rsidR="002E172A" w:rsidRDefault="002E172A" w:rsidP="002E172A">
            <w:pPr>
              <w:rPr>
                <w:rFonts w:ascii="Arial" w:hAnsi="Arial"/>
                <w:b/>
              </w:rPr>
            </w:pPr>
            <w:r>
              <w:rPr>
                <w:rFonts w:ascii="Arial" w:hAnsi="Arial"/>
                <w:b/>
              </w:rPr>
              <w:t>SPECIAL NOTES:</w:t>
            </w:r>
          </w:p>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8838" w:type="dxa"/>
              <w:tblLayout w:type="fixed"/>
              <w:tblLook w:val="0000" w:firstRow="0" w:lastRow="0" w:firstColumn="0" w:lastColumn="0" w:noHBand="0" w:noVBand="0"/>
            </w:tblPr>
            <w:tblGrid>
              <w:gridCol w:w="8838"/>
            </w:tblGrid>
            <w:tr w:rsidR="009A007E" w:rsidRPr="00723208" w:rsidTr="002E172A">
              <w:trPr>
                <w:cantSplit/>
              </w:trPr>
              <w:tc>
                <w:tcPr>
                  <w:tcW w:w="8838" w:type="dxa"/>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2E172A">
              <w:trPr>
                <w:cantSplit/>
              </w:trPr>
              <w:tc>
                <w:tcPr>
                  <w:tcW w:w="8838" w:type="dxa"/>
                </w:tcPr>
                <w:p w:rsidR="009A007E" w:rsidRDefault="009A007E" w:rsidP="00100245">
                  <w:pPr>
                    <w:rPr>
                      <w:rFonts w:ascii="Arial" w:hAnsi="Arial" w:cs="Arial"/>
                      <w:szCs w:val="24"/>
                      <w:u w:val="single"/>
                    </w:rPr>
                  </w:pPr>
                </w:p>
              </w:tc>
            </w:tr>
          </w:tbl>
          <w:p w:rsidR="00721297" w:rsidRDefault="00721297" w:rsidP="009A007E">
            <w:pPr>
              <w:rPr>
                <w:rFonts w:ascii="Arial" w:hAnsi="Arial"/>
              </w:rPr>
            </w:pPr>
          </w:p>
        </w:tc>
      </w:tr>
      <w:tr w:rsidR="00585C5C" w:rsidTr="009A007E">
        <w:trPr>
          <w:cantSplit/>
        </w:trPr>
        <w:tc>
          <w:tcPr>
            <w:tcW w:w="675" w:type="dxa"/>
          </w:tcPr>
          <w:p w:rsidR="00585C5C" w:rsidRDefault="002E172A">
            <w:pPr>
              <w:rPr>
                <w:rFonts w:ascii="Arial" w:hAnsi="Arial"/>
              </w:rPr>
            </w:pPr>
            <w:r w:rsidRPr="001F503D">
              <w:rPr>
                <w:rFonts w:ascii="Arial" w:hAnsi="Arial"/>
                <w:b/>
              </w:rPr>
              <w:t>VII.</w:t>
            </w:r>
          </w:p>
        </w:tc>
        <w:tc>
          <w:tcPr>
            <w:tcW w:w="8883" w:type="dxa"/>
          </w:tcPr>
          <w:p w:rsidR="002E172A" w:rsidRDefault="002E172A" w:rsidP="002E172A">
            <w:pPr>
              <w:rPr>
                <w:rFonts w:ascii="Arial" w:hAnsi="Arial"/>
                <w:b/>
              </w:rPr>
            </w:pPr>
            <w:r>
              <w:rPr>
                <w:rFonts w:ascii="Arial" w:hAnsi="Arial"/>
                <w:b/>
              </w:rPr>
              <w:t xml:space="preserve">COURSE OUTLINE </w:t>
            </w:r>
            <w:r w:rsidRPr="001F503D">
              <w:rPr>
                <w:rFonts w:ascii="Arial" w:hAnsi="Arial"/>
                <w:b/>
              </w:rPr>
              <w:t>ADDENDUM:</w:t>
            </w:r>
          </w:p>
          <w:p w:rsidR="00585C5C" w:rsidRPr="0004491B" w:rsidRDefault="00585C5C" w:rsidP="00585C5C">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1.</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Course Outline Amendments: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professor reserves the right to change the information contained in this course outline depending on the needs of the learner and the availability of resources.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2.</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Retention of Course Outlines: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It is the responsibility of the student to retain all course outlines for possible future use in acquiring advanced standing at other postsecondary institutions.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3.</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Prior Learning Assessment: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Credit for prior learning will also be given upon successful completion of a challenge exam or portfolio.</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Substitute course information is available in the Registrar's office.</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4.</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Accessibility Services: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5.</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Communication:</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6.</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Plagiarism:</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7.</w:t>
            </w:r>
          </w:p>
        </w:tc>
        <w:tc>
          <w:tcPr>
            <w:tcW w:w="8883" w:type="dxa"/>
          </w:tcPr>
          <w:p w:rsidR="00A32181" w:rsidRPr="002D240A" w:rsidRDefault="00A32181" w:rsidP="00FE0B8B">
            <w:pPr>
              <w:rPr>
                <w:rFonts w:ascii="Arial" w:hAnsi="Arial" w:cs="Arial"/>
                <w:szCs w:val="24"/>
                <w:u w:val="single"/>
                <w:lang w:eastAsia="en-CA"/>
              </w:rPr>
            </w:pPr>
            <w:r>
              <w:rPr>
                <w:rFonts w:ascii="Arial" w:hAnsi="Arial" w:cs="Arial"/>
                <w:szCs w:val="24"/>
                <w:u w:val="single"/>
                <w:lang w:eastAsia="en-CA"/>
              </w:rPr>
              <w:t>Tuition Default: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have defaulted on the payment of tuition (tuition has not been paid in full, payments were not deferred or payment plan not honoured) as </w:t>
            </w:r>
            <w:bookmarkStart w:id="1" w:name="Dropdown2"/>
            <w:r w:rsidRPr="002E172A">
              <w:rPr>
                <w:rFonts w:ascii="Arial" w:hAnsi="Arial" w:cs="Arial"/>
                <w:szCs w:val="24"/>
                <w:lang w:eastAsia="en-CA"/>
              </w:rPr>
              <w:t xml:space="preserve">of the first week of </w:t>
            </w:r>
            <w:bookmarkEnd w:id="1"/>
            <w:r w:rsidR="002E172A">
              <w:rPr>
                <w:rFonts w:ascii="Arial" w:hAnsi="Arial" w:cs="Arial"/>
                <w:szCs w:val="24"/>
                <w:lang w:eastAsia="en-CA"/>
              </w:rPr>
              <w:t xml:space="preserve">November </w:t>
            </w:r>
            <w:r w:rsidRPr="002E172A">
              <w:rPr>
                <w:rFonts w:ascii="Arial" w:hAnsi="Arial" w:cs="Arial"/>
                <w:szCs w:val="24"/>
                <w:lang w:eastAsia="en-CA"/>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8.</w:t>
            </w:r>
          </w:p>
        </w:tc>
        <w:tc>
          <w:tcPr>
            <w:tcW w:w="8883" w:type="dxa"/>
          </w:tcPr>
          <w:p w:rsidR="00A32181" w:rsidRPr="002D240A" w:rsidRDefault="00A32181" w:rsidP="00FE0B8B">
            <w:pPr>
              <w:rPr>
                <w:rFonts w:ascii="Arial" w:hAnsi="Arial" w:cs="Arial"/>
                <w:szCs w:val="24"/>
                <w:u w:val="single"/>
                <w:lang w:eastAsia="en-CA"/>
              </w:rPr>
            </w:pPr>
            <w:r w:rsidRPr="002D240A">
              <w:rPr>
                <w:rFonts w:ascii="Arial" w:hAnsi="Arial" w:cs="Arial"/>
                <w:szCs w:val="24"/>
                <w:u w:val="single"/>
                <w:lang w:eastAsia="en-CA"/>
              </w:rPr>
              <w:t>Student Portal</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The Sault College portal allows you to view all your student information in one place. mysaultcollege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w:t>
            </w:r>
            <w:hyperlink r:id="rId10" w:history="1">
              <w:r w:rsidRPr="002E172A">
                <w:rPr>
                  <w:rStyle w:val="Hyperlink"/>
                  <w:rFonts w:ascii="Arial" w:hAnsi="Arial" w:cs="Arial"/>
                  <w:szCs w:val="24"/>
                  <w:u w:val="none"/>
                  <w:lang w:eastAsia="en-CA"/>
                </w:rPr>
                <w:t>https://my.saultcollege.ca</w:t>
              </w:r>
            </w:hyperlink>
            <w:r w:rsidRPr="002E172A">
              <w:rPr>
                <w:rFonts w:ascii="Arial" w:hAnsi="Arial" w:cs="Arial"/>
                <w:szCs w:val="24"/>
                <w:lang w:eastAsia="en-CA"/>
              </w:rPr>
              <w:t>.</w:t>
            </w:r>
          </w:p>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 xml:space="preserve"> </w:t>
            </w:r>
          </w:p>
        </w:tc>
      </w:tr>
      <w:tr w:rsidR="00A32181" w:rsidTr="00A32181">
        <w:trPr>
          <w:cantSplit/>
        </w:trPr>
        <w:tc>
          <w:tcPr>
            <w:tcW w:w="675" w:type="dxa"/>
          </w:tcPr>
          <w:p w:rsidR="00A32181" w:rsidRDefault="00A32181" w:rsidP="00FE0B8B">
            <w:pPr>
              <w:rPr>
                <w:rFonts w:ascii="Arial" w:hAnsi="Arial"/>
              </w:rPr>
            </w:pPr>
            <w:r>
              <w:rPr>
                <w:rFonts w:ascii="Arial" w:hAnsi="Arial"/>
              </w:rPr>
              <w:t>9.</w:t>
            </w:r>
          </w:p>
        </w:tc>
        <w:tc>
          <w:tcPr>
            <w:tcW w:w="8883" w:type="dxa"/>
          </w:tcPr>
          <w:p w:rsidR="00A32181" w:rsidRPr="0004491B" w:rsidRDefault="00A32181"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A32181" w:rsidRPr="00A32181" w:rsidRDefault="00A32181" w:rsidP="00FE0B8B">
            <w:pPr>
              <w:rPr>
                <w:rFonts w:ascii="Arial" w:hAnsi="Arial" w:cs="Arial"/>
                <w:szCs w:val="24"/>
                <w:u w:val="single"/>
                <w:lang w:eastAsia="en-CA"/>
              </w:rPr>
            </w:pPr>
          </w:p>
        </w:tc>
      </w:tr>
    </w:tbl>
    <w:p w:rsidR="00721297" w:rsidRDefault="00721297">
      <w:pPr>
        <w:pStyle w:val="EnvelopeReturn"/>
      </w:pPr>
    </w:p>
    <w:sectPr w:rsidR="00721297" w:rsidSect="00F5169A">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28" w:rsidRDefault="005A2228">
      <w:r>
        <w:separator/>
      </w:r>
    </w:p>
  </w:endnote>
  <w:endnote w:type="continuationSeparator" w:id="0">
    <w:p w:rsidR="005A2228" w:rsidRDefault="005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28" w:rsidRDefault="005A2228">
      <w:r>
        <w:separator/>
      </w:r>
    </w:p>
  </w:footnote>
  <w:footnote w:type="continuationSeparator" w:id="0">
    <w:p w:rsidR="005A2228" w:rsidRDefault="005A2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1D3C" w:rsidRDefault="00091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7DD3">
      <w:rPr>
        <w:rStyle w:val="PageNumber"/>
        <w:noProof/>
      </w:rPr>
      <w:t>5</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91D3C">
      <w:tc>
        <w:tcPr>
          <w:tcW w:w="3794" w:type="dxa"/>
        </w:tcPr>
        <w:p w:rsidR="00091D3C" w:rsidRDefault="00091D3C">
          <w:pPr>
            <w:rPr>
              <w:rFonts w:ascii="Arial" w:hAnsi="Arial"/>
              <w:snapToGrid w:val="0"/>
            </w:rPr>
          </w:pPr>
          <w:r>
            <w:rPr>
              <w:rFonts w:ascii="Arial" w:hAnsi="Arial"/>
              <w:snapToGrid w:val="0"/>
            </w:rPr>
            <w:t>Accounting Principles II</w:t>
          </w: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ACC 221</w:t>
          </w:r>
        </w:p>
      </w:tc>
    </w:tr>
    <w:tr w:rsidR="00091D3C">
      <w:tc>
        <w:tcPr>
          <w:tcW w:w="3794" w:type="dxa"/>
        </w:tcPr>
        <w:p w:rsidR="00091D3C" w:rsidRDefault="00091D3C">
          <w:pPr>
            <w:rPr>
              <w:rFonts w:ascii="Arial" w:hAnsi="Arial"/>
              <w:snapToGrid w:val="0"/>
            </w:rPr>
          </w:pPr>
          <w:r>
            <w:rPr>
              <w:rFonts w:ascii="Arial" w:hAnsi="Arial"/>
              <w:snapToGrid w:val="0"/>
            </w:rPr>
            <w:t>_____________________</w:t>
          </w:r>
        </w:p>
        <w:p w:rsidR="00091D3C" w:rsidRDefault="00091D3C">
          <w:pPr>
            <w:rPr>
              <w:rFonts w:ascii="Arial" w:hAnsi="Arial"/>
              <w:snapToGrid w:val="0"/>
            </w:rPr>
          </w:pPr>
          <w:r>
            <w:rPr>
              <w:rFonts w:ascii="Arial" w:hAnsi="Arial"/>
              <w:snapToGrid w:val="0"/>
            </w:rPr>
            <w:t>Course Name</w:t>
          </w:r>
        </w:p>
        <w:p w:rsidR="00091D3C" w:rsidRDefault="00091D3C">
          <w:pPr>
            <w:rPr>
              <w:rFonts w:ascii="Arial" w:hAnsi="Arial"/>
              <w:snapToGrid w:val="0"/>
            </w:rPr>
          </w:pP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________________</w:t>
          </w:r>
        </w:p>
        <w:p w:rsidR="00091D3C" w:rsidRDefault="00091D3C">
          <w:pPr>
            <w:pStyle w:val="Header"/>
            <w:jc w:val="right"/>
            <w:rPr>
              <w:rFonts w:ascii="Arial" w:hAnsi="Arial"/>
              <w:snapToGrid w:val="0"/>
            </w:rPr>
          </w:pPr>
          <w:r>
            <w:rPr>
              <w:rFonts w:ascii="Arial" w:hAnsi="Arial"/>
              <w:snapToGrid w:val="0"/>
            </w:rPr>
            <w:t>Code No.</w:t>
          </w:r>
        </w:p>
      </w:tc>
    </w:tr>
  </w:tbl>
  <w:p w:rsidR="00091D3C" w:rsidRDefault="00091D3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1AEB6519"/>
    <w:multiLevelType w:val="hybridMultilevel"/>
    <w:tmpl w:val="53ECECB2"/>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6F6019"/>
    <w:multiLevelType w:val="hybridMultilevel"/>
    <w:tmpl w:val="F022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7">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10">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607C70"/>
    <w:multiLevelType w:val="hybridMultilevel"/>
    <w:tmpl w:val="33966790"/>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6">
    <w:nsid w:val="42EA3B78"/>
    <w:multiLevelType w:val="hybridMultilevel"/>
    <w:tmpl w:val="4FD4CC16"/>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D77790"/>
    <w:multiLevelType w:val="hybridMultilevel"/>
    <w:tmpl w:val="308A6DF8"/>
    <w:lvl w:ilvl="0" w:tplc="9F08A6C0">
      <w:start w:val="1"/>
      <w:numFmt w:val="bullet"/>
      <w:lvlText w:val="-"/>
      <w:lvlJc w:val="left"/>
      <w:pPr>
        <w:tabs>
          <w:tab w:val="num" w:pos="720"/>
        </w:tabs>
        <w:ind w:left="72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5">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8">
    <w:nsid w:val="7D8B7F57"/>
    <w:multiLevelType w:val="hybridMultilevel"/>
    <w:tmpl w:val="F7C49F42"/>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6"/>
  </w:num>
  <w:num w:numId="3">
    <w:abstractNumId w:val="8"/>
  </w:num>
  <w:num w:numId="4">
    <w:abstractNumId w:val="22"/>
  </w:num>
  <w:num w:numId="5">
    <w:abstractNumId w:val="29"/>
  </w:num>
  <w:num w:numId="6">
    <w:abstractNumId w:val="1"/>
  </w:num>
  <w:num w:numId="7">
    <w:abstractNumId w:val="0"/>
  </w:num>
  <w:num w:numId="8">
    <w:abstractNumId w:val="19"/>
  </w:num>
  <w:num w:numId="9">
    <w:abstractNumId w:val="23"/>
  </w:num>
  <w:num w:numId="10">
    <w:abstractNumId w:val="2"/>
  </w:num>
  <w:num w:numId="11">
    <w:abstractNumId w:val="17"/>
  </w:num>
  <w:num w:numId="12">
    <w:abstractNumId w:val="3"/>
  </w:num>
  <w:num w:numId="13">
    <w:abstractNumId w:val="24"/>
  </w:num>
  <w:num w:numId="14">
    <w:abstractNumId w:val="18"/>
  </w:num>
  <w:num w:numId="15">
    <w:abstractNumId w:val="15"/>
  </w:num>
  <w:num w:numId="16">
    <w:abstractNumId w:val="7"/>
  </w:num>
  <w:num w:numId="17">
    <w:abstractNumId w:val="25"/>
  </w:num>
  <w:num w:numId="18">
    <w:abstractNumId w:val="9"/>
  </w:num>
  <w:num w:numId="19">
    <w:abstractNumId w:val="6"/>
  </w:num>
  <w:num w:numId="20">
    <w:abstractNumId w:val="27"/>
  </w:num>
  <w:num w:numId="21">
    <w:abstractNumId w:val="12"/>
  </w:num>
  <w:num w:numId="22">
    <w:abstractNumId w:val="30"/>
  </w:num>
  <w:num w:numId="23">
    <w:abstractNumId w:val="21"/>
  </w:num>
  <w:num w:numId="24">
    <w:abstractNumId w:val="19"/>
  </w:num>
  <w:num w:numId="25">
    <w:abstractNumId w:val="13"/>
  </w:num>
  <w:num w:numId="26">
    <w:abstractNumId w:val="10"/>
  </w:num>
  <w:num w:numId="27">
    <w:abstractNumId w:val="16"/>
  </w:num>
  <w:num w:numId="28">
    <w:abstractNumId w:val="20"/>
  </w:num>
  <w:num w:numId="29">
    <w:abstractNumId w:val="4"/>
  </w:num>
  <w:num w:numId="30">
    <w:abstractNumId w:val="5"/>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71"/>
    <w:rsid w:val="00030365"/>
    <w:rsid w:val="00057EAB"/>
    <w:rsid w:val="000860AE"/>
    <w:rsid w:val="00091D3C"/>
    <w:rsid w:val="000D67FB"/>
    <w:rsid w:val="000E0454"/>
    <w:rsid w:val="000F2BB3"/>
    <w:rsid w:val="00100245"/>
    <w:rsid w:val="001010FE"/>
    <w:rsid w:val="001136D2"/>
    <w:rsid w:val="001946BE"/>
    <w:rsid w:val="001D13FA"/>
    <w:rsid w:val="00224372"/>
    <w:rsid w:val="00234D32"/>
    <w:rsid w:val="00245D71"/>
    <w:rsid w:val="00264D18"/>
    <w:rsid w:val="002D3304"/>
    <w:rsid w:val="002D7E45"/>
    <w:rsid w:val="002E172A"/>
    <w:rsid w:val="003019C4"/>
    <w:rsid w:val="003B5B79"/>
    <w:rsid w:val="004521DD"/>
    <w:rsid w:val="004525D6"/>
    <w:rsid w:val="00470FB6"/>
    <w:rsid w:val="004A503A"/>
    <w:rsid w:val="004C5730"/>
    <w:rsid w:val="004E59CB"/>
    <w:rsid w:val="00561CD0"/>
    <w:rsid w:val="005841F6"/>
    <w:rsid w:val="00585C5C"/>
    <w:rsid w:val="005A2228"/>
    <w:rsid w:val="00630863"/>
    <w:rsid w:val="006D6DDF"/>
    <w:rsid w:val="006E79B6"/>
    <w:rsid w:val="00721297"/>
    <w:rsid w:val="00723531"/>
    <w:rsid w:val="00757400"/>
    <w:rsid w:val="00761E5A"/>
    <w:rsid w:val="007A222A"/>
    <w:rsid w:val="007B37C9"/>
    <w:rsid w:val="007F2697"/>
    <w:rsid w:val="00806F9A"/>
    <w:rsid w:val="008235C6"/>
    <w:rsid w:val="0086236F"/>
    <w:rsid w:val="008630F2"/>
    <w:rsid w:val="00876B92"/>
    <w:rsid w:val="008951BC"/>
    <w:rsid w:val="008B6E93"/>
    <w:rsid w:val="00963350"/>
    <w:rsid w:val="00974CFF"/>
    <w:rsid w:val="009857ED"/>
    <w:rsid w:val="009A007E"/>
    <w:rsid w:val="00A32181"/>
    <w:rsid w:val="00A46FA0"/>
    <w:rsid w:val="00AC291E"/>
    <w:rsid w:val="00AD0342"/>
    <w:rsid w:val="00BF07F3"/>
    <w:rsid w:val="00BF2CC4"/>
    <w:rsid w:val="00C24182"/>
    <w:rsid w:val="00C55F8C"/>
    <w:rsid w:val="00C64C3D"/>
    <w:rsid w:val="00C87DD3"/>
    <w:rsid w:val="00CA5786"/>
    <w:rsid w:val="00CC6FBF"/>
    <w:rsid w:val="00CE0FF3"/>
    <w:rsid w:val="00CE7B28"/>
    <w:rsid w:val="00CF42BB"/>
    <w:rsid w:val="00D33A71"/>
    <w:rsid w:val="00D47B9D"/>
    <w:rsid w:val="00D709F3"/>
    <w:rsid w:val="00D916EE"/>
    <w:rsid w:val="00D9214A"/>
    <w:rsid w:val="00DA75AD"/>
    <w:rsid w:val="00DE015C"/>
    <w:rsid w:val="00EA07F9"/>
    <w:rsid w:val="00F04B85"/>
    <w:rsid w:val="00F500AC"/>
    <w:rsid w:val="00F5169A"/>
    <w:rsid w:val="00F8221B"/>
    <w:rsid w:val="00F8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809A17-46FF-4FCD-BAE9-137725B25197}"/>
</file>

<file path=customXml/itemProps2.xml><?xml version="1.0" encoding="utf-8"?>
<ds:datastoreItem xmlns:ds="http://schemas.openxmlformats.org/officeDocument/2006/customXml" ds:itemID="{5E5B0342-635D-4E7D-BA7D-7FA0E3873142}"/>
</file>

<file path=customXml/itemProps3.xml><?xml version="1.0" encoding="utf-8"?>
<ds:datastoreItem xmlns:ds="http://schemas.openxmlformats.org/officeDocument/2006/customXml" ds:itemID="{4607A88E-8443-49F0-BFA6-70905585AE34}"/>
</file>

<file path=docProps/app.xml><?xml version="1.0" encoding="utf-8"?>
<Properties xmlns="http://schemas.openxmlformats.org/officeDocument/2006/extended-properties" xmlns:vt="http://schemas.openxmlformats.org/officeDocument/2006/docPropsVTypes">
  <Template>Normal.dotm</Template>
  <TotalTime>0</TotalTime>
  <Pages>8</Pages>
  <Words>1809</Words>
  <Characters>10657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12442</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4</cp:revision>
  <cp:lastPrinted>2013-06-06T19:08:00Z</cp:lastPrinted>
  <dcterms:created xsi:type="dcterms:W3CDTF">2014-06-06T16:01:00Z</dcterms:created>
  <dcterms:modified xsi:type="dcterms:W3CDTF">2014-07-14T13:46:00Z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591400</vt:r8>
  </property>
</Properties>
</file>